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A88233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9E61D2" w:rsidRPr="009E61D2">
        <w:rPr>
          <w:bCs/>
          <w:noProof w:val="0"/>
          <w:sz w:val="24"/>
          <w:szCs w:val="24"/>
        </w:rPr>
        <w:t>R2-1706858</w:t>
      </w:r>
      <w:bookmarkStart w:id="1" w:name="_GoBack"/>
      <w:bookmarkEnd w:id="1"/>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B8A7E6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61D2" w:rsidRPr="009E61D2">
        <w:rPr>
          <w:rFonts w:cs="Arial"/>
          <w:b/>
          <w:bCs/>
          <w:sz w:val="24"/>
          <w:lang w:eastAsia="ja-JP"/>
        </w:rPr>
        <w:t>10.2.5</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24B687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5465">
        <w:rPr>
          <w:rFonts w:ascii="Arial" w:hAnsi="Arial" w:cs="Arial"/>
          <w:b/>
          <w:bCs/>
          <w:sz w:val="24"/>
        </w:rPr>
        <w:t>Allowing mapping of default bearer on SCG during Initial Context Setup</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AB6752C" w:rsidR="00CD4C7B" w:rsidRDefault="00D05465" w:rsidP="00CD4C7B">
      <w:r>
        <w:t>During the RAN2#98 meeting the following agreement was made based on the discussion in [1]:</w:t>
      </w:r>
    </w:p>
    <w:p w14:paraId="119E0695" w14:textId="77777777" w:rsidR="00D05465" w:rsidRDefault="00D05465" w:rsidP="00D05465">
      <w:pPr>
        <w:pStyle w:val="Doc-text2"/>
        <w:pBdr>
          <w:top w:val="single" w:sz="4" w:space="1" w:color="auto"/>
          <w:left w:val="single" w:sz="4" w:space="4" w:color="auto"/>
          <w:bottom w:val="single" w:sz="4" w:space="1" w:color="auto"/>
          <w:right w:val="single" w:sz="4" w:space="4" w:color="auto"/>
        </w:pBdr>
      </w:pPr>
      <w:r>
        <w:t>Agreement</w:t>
      </w:r>
    </w:p>
    <w:p w14:paraId="766F2D5C" w14:textId="77777777" w:rsidR="00D05465" w:rsidRDefault="00D05465" w:rsidP="00D05465">
      <w:pPr>
        <w:pStyle w:val="Doc-text2"/>
        <w:pBdr>
          <w:top w:val="single" w:sz="4" w:space="1" w:color="auto"/>
          <w:left w:val="single" w:sz="4" w:space="4" w:color="auto"/>
          <w:bottom w:val="single" w:sz="4" w:space="1" w:color="auto"/>
          <w:right w:val="single" w:sz="4" w:space="4" w:color="auto"/>
        </w:pBdr>
      </w:pPr>
      <w:r>
        <w:t>1</w:t>
      </w:r>
      <w:r>
        <w:tab/>
        <w:t>For MR DC, it is allowed that all DRBs are configured in SCG (i.e. no DRBs configured in MCG) (assuming that a DRB was previously established in MCG.</w:t>
      </w:r>
    </w:p>
    <w:p w14:paraId="45A97418" w14:textId="77777777" w:rsidR="00D05465" w:rsidRDefault="00D05465" w:rsidP="00CD4C7B"/>
    <w:p w14:paraId="428208F2" w14:textId="4A3B59A5" w:rsidR="00D05465" w:rsidRPr="006E13D1" w:rsidRDefault="00C12DC7" w:rsidP="00C12DC7">
      <w:r>
        <w:t xml:space="preserve">In this contribution, </w:t>
      </w:r>
      <w:r w:rsidR="00D05465">
        <w:t xml:space="preserve">we </w:t>
      </w:r>
      <w:r w:rsidR="005D387B">
        <w:t>discuss the possible options stemming from the above agreement.</w:t>
      </w:r>
      <w:r w:rsidR="00040A9D">
        <w:t xml:space="preserve"> In the context of this discussion we refer to the EN-DC scenario, however the discussion is relevant for MR-DC in general.</w:t>
      </w:r>
    </w:p>
    <w:p w14:paraId="127ACA6D" w14:textId="103CBC67" w:rsidR="00CD4C7B" w:rsidRDefault="00CD4C7B" w:rsidP="00CD4C7B">
      <w:pPr>
        <w:pStyle w:val="Heading1"/>
      </w:pPr>
      <w:r w:rsidRPr="006E13D1">
        <w:t>2</w:t>
      </w:r>
      <w:r w:rsidRPr="006E13D1">
        <w:tab/>
      </w:r>
      <w:r w:rsidR="005D387B">
        <w:t>Background</w:t>
      </w:r>
    </w:p>
    <w:p w14:paraId="05146B3A" w14:textId="6A917B52" w:rsidR="005D387B" w:rsidRPr="005D387B" w:rsidRDefault="005D387B" w:rsidP="005D387B">
      <w:r>
        <w:t>In Figure 1 the sequence of steps is indicated for EN</w:t>
      </w:r>
      <w:r w:rsidR="00C12DC7">
        <w:t>-DC and i</w:t>
      </w:r>
      <w:r>
        <w:t>t is understood that the MeNB is able</w:t>
      </w:r>
      <w:r w:rsidR="00C12DC7">
        <w:t xml:space="preserve"> to add a SN inline, directly, </w:t>
      </w:r>
      <w:r>
        <w:t>during the Ini</w:t>
      </w:r>
      <w:r w:rsidR="00C12DC7">
        <w:t>tial UE Context Setup procedure.</w:t>
      </w:r>
    </w:p>
    <w:p w14:paraId="3884F67D" w14:textId="6E04F996" w:rsidR="00CD4C7B" w:rsidRDefault="005D387B" w:rsidP="001B49C9">
      <w:r>
        <w:object w:dxaOrig="10236" w:dyaOrig="3948" w14:anchorId="3551E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5.6pt" o:ole="">
            <v:imagedata r:id="rId11" o:title=""/>
          </v:shape>
          <o:OLEObject Type="Embed" ProgID="Visio.Drawing.15" ShapeID="_x0000_i1025" DrawAspect="Content" ObjectID="_1559122135" r:id="rId12"/>
        </w:object>
      </w:r>
    </w:p>
    <w:p w14:paraId="4FE7E368" w14:textId="502D6976" w:rsidR="005D387B" w:rsidRDefault="005D387B" w:rsidP="005D387B">
      <w:pPr>
        <w:jc w:val="center"/>
        <w:rPr>
          <w:rFonts w:ascii="Arial" w:hAnsi="Arial"/>
          <w:b/>
        </w:rPr>
      </w:pPr>
      <w:r w:rsidRPr="005D387B">
        <w:rPr>
          <w:rFonts w:ascii="Arial" w:hAnsi="Arial"/>
          <w:b/>
        </w:rPr>
        <w:t>Figure 1:</w:t>
      </w:r>
      <w:r>
        <w:rPr>
          <w:rFonts w:ascii="Arial" w:hAnsi="Arial"/>
          <w:b/>
        </w:rPr>
        <w:t xml:space="preserve"> SN addition during Initial UE Context Setup (source: [1])</w:t>
      </w:r>
    </w:p>
    <w:p w14:paraId="7830E958" w14:textId="0B553E72" w:rsidR="00C12DC7" w:rsidRDefault="00C12DC7" w:rsidP="005D387B">
      <w:r>
        <w:t>However, the agreement (especially the phrase in brackets “</w:t>
      </w:r>
      <w:r w:rsidRPr="00C12DC7">
        <w:rPr>
          <w:i/>
        </w:rPr>
        <w:t>assuming that a DRB was previously established in MCG</w:t>
      </w:r>
      <w:r>
        <w:t>”, seems to create some confusion).</w:t>
      </w:r>
      <w:r w:rsidR="00544AB8">
        <w:t xml:space="preserve"> There are 2 </w:t>
      </w:r>
      <w:r w:rsidR="004252C8">
        <w:t xml:space="preserve">possible </w:t>
      </w:r>
      <w:r w:rsidR="00544AB8">
        <w:t xml:space="preserve">options based on the </w:t>
      </w:r>
      <w:r w:rsidR="004252C8">
        <w:t>above agreement:</w:t>
      </w:r>
    </w:p>
    <w:p w14:paraId="6C8F9F39" w14:textId="3F110CEA" w:rsidR="006A0B07" w:rsidRDefault="00544AB8" w:rsidP="005D387B">
      <w:pPr>
        <w:rPr>
          <w:b/>
        </w:rPr>
      </w:pPr>
      <w:r>
        <w:rPr>
          <w:b/>
        </w:rPr>
        <w:t xml:space="preserve">Option </w:t>
      </w:r>
      <w:r w:rsidR="006A0B07" w:rsidRPr="006A0B07">
        <w:rPr>
          <w:b/>
        </w:rPr>
        <w:t xml:space="preserve">1: </w:t>
      </w:r>
      <w:r w:rsidR="006A0B07">
        <w:rPr>
          <w:b/>
        </w:rPr>
        <w:t xml:space="preserve">During </w:t>
      </w:r>
      <w:r w:rsidR="009C05C8">
        <w:rPr>
          <w:b/>
        </w:rPr>
        <w:t>Initial context setup procedure,</w:t>
      </w:r>
      <w:r w:rsidR="006A0B07">
        <w:rPr>
          <w:b/>
        </w:rPr>
        <w:t xml:space="preserve"> the SCG or SCG split bearer can be </w:t>
      </w:r>
      <w:r w:rsidR="00EB1CA0">
        <w:rPr>
          <w:b/>
        </w:rPr>
        <w:t xml:space="preserve">directly </w:t>
      </w:r>
      <w:r w:rsidR="006A0B07">
        <w:rPr>
          <w:b/>
        </w:rPr>
        <w:t>setup.</w:t>
      </w:r>
    </w:p>
    <w:p w14:paraId="1AFF80B1" w14:textId="2D35DFD3" w:rsidR="006A0B07" w:rsidRDefault="00544AB8" w:rsidP="005D387B">
      <w:pPr>
        <w:rPr>
          <w:b/>
        </w:rPr>
      </w:pPr>
      <w:r>
        <w:rPr>
          <w:b/>
        </w:rPr>
        <w:t>Option</w:t>
      </w:r>
      <w:r w:rsidR="006A0B07">
        <w:rPr>
          <w:b/>
        </w:rPr>
        <w:t xml:space="preserve"> 2: </w:t>
      </w:r>
      <w:r>
        <w:rPr>
          <w:b/>
        </w:rPr>
        <w:t>A</w:t>
      </w:r>
      <w:r w:rsidR="006A0B07" w:rsidRPr="006A0B07">
        <w:rPr>
          <w:b/>
        </w:rPr>
        <w:t xml:space="preserve">t Initial context setup, MCG bearer should be first setup and then </w:t>
      </w:r>
      <w:r>
        <w:rPr>
          <w:b/>
        </w:rPr>
        <w:t xml:space="preserve">later </w:t>
      </w:r>
      <w:r w:rsidR="006A0B07" w:rsidRPr="006A0B07">
        <w:rPr>
          <w:b/>
        </w:rPr>
        <w:t>converted to SCG or SCG split bearer</w:t>
      </w:r>
      <w:r w:rsidR="009C05C8">
        <w:rPr>
          <w:b/>
        </w:rPr>
        <w:t xml:space="preserve"> (implied from the phrase in brackets “</w:t>
      </w:r>
      <w:r w:rsidR="009C05C8" w:rsidRPr="00544AB8">
        <w:rPr>
          <w:b/>
          <w:i/>
        </w:rPr>
        <w:t>assuming that a DRB was previously established in MCG</w:t>
      </w:r>
      <w:r w:rsidR="009C05C8" w:rsidRPr="006A0B07">
        <w:rPr>
          <w:b/>
        </w:rPr>
        <w:t>”</w:t>
      </w:r>
      <w:r w:rsidR="009C05C8">
        <w:rPr>
          <w:b/>
        </w:rPr>
        <w:t>)</w:t>
      </w:r>
      <w:r>
        <w:rPr>
          <w:b/>
        </w:rPr>
        <w:t xml:space="preserve">. The bearer type change could be accomplished either during the Initial context setup procedure or even </w:t>
      </w:r>
      <w:r w:rsidR="009C05C8">
        <w:rPr>
          <w:b/>
        </w:rPr>
        <w:t xml:space="preserve">later. </w:t>
      </w:r>
    </w:p>
    <w:p w14:paraId="62E8094A" w14:textId="6009327F" w:rsidR="00544AB8" w:rsidRDefault="00544AB8" w:rsidP="005D387B">
      <w:pPr>
        <w:rPr>
          <w:b/>
        </w:rPr>
      </w:pPr>
      <w:r w:rsidRPr="00544AB8">
        <w:rPr>
          <w:b/>
        </w:rPr>
        <w:lastRenderedPageBreak/>
        <w:t xml:space="preserve">Observation </w:t>
      </w:r>
      <w:r w:rsidR="009C05C8">
        <w:rPr>
          <w:b/>
        </w:rPr>
        <w:t>1</w:t>
      </w:r>
      <w:r w:rsidRPr="00544AB8">
        <w:rPr>
          <w:b/>
        </w:rPr>
        <w:t xml:space="preserve">: </w:t>
      </w:r>
      <w:r w:rsidR="009C05C8">
        <w:rPr>
          <w:b/>
        </w:rPr>
        <w:t>Option</w:t>
      </w:r>
      <w:r>
        <w:rPr>
          <w:b/>
        </w:rPr>
        <w:t xml:space="preserve"> 1 and </w:t>
      </w:r>
      <w:r w:rsidR="009C05C8">
        <w:rPr>
          <w:b/>
        </w:rPr>
        <w:t>Option</w:t>
      </w:r>
      <w:r>
        <w:rPr>
          <w:b/>
        </w:rPr>
        <w:t xml:space="preserve"> 2 both lead to the same result i.e. no </w:t>
      </w:r>
      <w:r w:rsidRPr="00544AB8">
        <w:rPr>
          <w:b/>
        </w:rPr>
        <w:t>DRBs configured in MC</w:t>
      </w:r>
      <w:r>
        <w:rPr>
          <w:b/>
        </w:rPr>
        <w:t>G) b</w:t>
      </w:r>
      <w:r w:rsidR="009C05C8">
        <w:rPr>
          <w:b/>
        </w:rPr>
        <w:t>ut the former is more optimized.</w:t>
      </w:r>
    </w:p>
    <w:p w14:paraId="5BE32B12" w14:textId="5FCB24BD" w:rsidR="009C05C8" w:rsidRPr="009C05C8" w:rsidRDefault="009C05C8" w:rsidP="005D387B">
      <w:r w:rsidRPr="009C05C8">
        <w:t xml:space="preserve">In </w:t>
      </w:r>
      <w:r>
        <w:t>the next section, we discuss the implications of choosing Option 1.</w:t>
      </w:r>
    </w:p>
    <w:p w14:paraId="5FF0E443" w14:textId="22A718EF" w:rsidR="00CD4C7B" w:rsidRPr="006E13D1" w:rsidRDefault="00CD4C7B" w:rsidP="00CD4C7B">
      <w:pPr>
        <w:pStyle w:val="Heading1"/>
      </w:pPr>
      <w:r w:rsidRPr="006E13D1">
        <w:t>3</w:t>
      </w:r>
      <w:r w:rsidRPr="006E13D1">
        <w:tab/>
      </w:r>
      <w:r w:rsidR="009C05C8">
        <w:t>Setting up SCG/SCG split bearer directly</w:t>
      </w:r>
    </w:p>
    <w:p w14:paraId="2229C294" w14:textId="2D063BC4" w:rsidR="00952D36" w:rsidRDefault="00952D36" w:rsidP="00952D36">
      <w:r>
        <w:t>Our understanding of the Option 1 is as follows for default bearer establishment directly to SCG:</w:t>
      </w:r>
    </w:p>
    <w:p w14:paraId="1823EA31" w14:textId="7EEFA41F" w:rsidR="00952D36" w:rsidRDefault="00952D36" w:rsidP="00952D36">
      <w:pPr>
        <w:pStyle w:val="ListParagraph"/>
        <w:numPr>
          <w:ilvl w:val="0"/>
          <w:numId w:val="5"/>
        </w:numPr>
      </w:pPr>
      <w:r w:rsidRPr="00952D36">
        <w:t>The MME sets up the SGW side of the tunnels upon receiving the S1 Initial UE Messa</w:t>
      </w:r>
      <w:r>
        <w:t>ge (i.e. the first NAS message)</w:t>
      </w:r>
      <w:r w:rsidR="00751FD5">
        <w:t>.</w:t>
      </w:r>
    </w:p>
    <w:p w14:paraId="786E2D98" w14:textId="5E6C61C5" w:rsidR="00952D36" w:rsidRDefault="00952D36" w:rsidP="00952D36">
      <w:pPr>
        <w:pStyle w:val="ListParagraph"/>
        <w:numPr>
          <w:ilvl w:val="0"/>
          <w:numId w:val="5"/>
        </w:numPr>
      </w:pPr>
      <w:r>
        <w:t xml:space="preserve">The MME </w:t>
      </w:r>
      <w:r w:rsidRPr="00952D36">
        <w:t xml:space="preserve">then provides the SGW TLA and TEIDs to the </w:t>
      </w:r>
      <w:r>
        <w:t>M</w:t>
      </w:r>
      <w:r w:rsidRPr="00952D36">
        <w:t>eNB in the S1 Initial Context Setup Request</w:t>
      </w:r>
      <w:r w:rsidR="00751FD5">
        <w:t>.</w:t>
      </w:r>
    </w:p>
    <w:p w14:paraId="4A79C449" w14:textId="72713550" w:rsidR="00751FD5" w:rsidRDefault="00751FD5" w:rsidP="00952D36">
      <w:pPr>
        <w:pStyle w:val="ListParagraph"/>
        <w:numPr>
          <w:ilvl w:val="0"/>
          <w:numId w:val="5"/>
        </w:numPr>
      </w:pPr>
      <w:r>
        <w:t>In the case the radio bearers are mapped on MCG, t</w:t>
      </w:r>
      <w:r w:rsidR="00952D36" w:rsidRPr="00952D36">
        <w:t xml:space="preserve">he </w:t>
      </w:r>
      <w:r w:rsidR="00952D36">
        <w:t>M</w:t>
      </w:r>
      <w:r w:rsidR="00952D36" w:rsidRPr="00952D36">
        <w:t>eNB sets up the radio bearers and tunnels and responds with the S1 Initial Context Setup Response, which contains the eNB TLA and TEIDs</w:t>
      </w:r>
      <w:r w:rsidR="00952D36">
        <w:t xml:space="preserve">. </w:t>
      </w:r>
    </w:p>
    <w:p w14:paraId="0CC6F653" w14:textId="47032F5F" w:rsidR="005154A2" w:rsidRDefault="00751FD5" w:rsidP="00952D36">
      <w:pPr>
        <w:pStyle w:val="ListParagraph"/>
        <w:numPr>
          <w:ilvl w:val="0"/>
          <w:numId w:val="5"/>
        </w:numPr>
      </w:pPr>
      <w:r>
        <w:t xml:space="preserve">However, for </w:t>
      </w:r>
      <w:r w:rsidR="005154A2">
        <w:t>Option 1</w:t>
      </w:r>
      <w:r>
        <w:t xml:space="preserve">, the MeNB must be </w:t>
      </w:r>
      <w:r w:rsidRPr="00751FD5">
        <w:t>allowed to give</w:t>
      </w:r>
      <w:r>
        <w:t xml:space="preserve"> the TLA of the SN in here corresponding to the</w:t>
      </w:r>
      <w:r w:rsidRPr="00751FD5">
        <w:t xml:space="preserve"> E-RAB ID given by the MME to the Default EPS bearer</w:t>
      </w:r>
      <w:r>
        <w:t>.</w:t>
      </w:r>
    </w:p>
    <w:p w14:paraId="440CFAE1" w14:textId="367197D6" w:rsidR="00952D36" w:rsidRDefault="005154A2" w:rsidP="00952D36">
      <w:pPr>
        <w:pStyle w:val="ListParagraph"/>
        <w:numPr>
          <w:ilvl w:val="0"/>
          <w:numId w:val="5"/>
        </w:numPr>
      </w:pPr>
      <w:r>
        <w:t xml:space="preserve">Once the SN specific parameters are provided to </w:t>
      </w:r>
      <w:r w:rsidRPr="005154A2">
        <w:t>the MME</w:t>
      </w:r>
      <w:r>
        <w:t xml:space="preserve"> (which transfers this to</w:t>
      </w:r>
      <w:r w:rsidRPr="005154A2">
        <w:t xml:space="preserve"> </w:t>
      </w:r>
      <w:r>
        <w:t>t</w:t>
      </w:r>
      <w:r w:rsidRPr="005154A2">
        <w:t>he SGW</w:t>
      </w:r>
      <w:r>
        <w:t>)</w:t>
      </w:r>
      <w:r w:rsidRPr="005154A2">
        <w:t xml:space="preserve">, </w:t>
      </w:r>
      <w:r>
        <w:t>the SGW can</w:t>
      </w:r>
      <w:r w:rsidRPr="005154A2">
        <w:t xml:space="preserve"> start sending DL data</w:t>
      </w:r>
      <w:r>
        <w:t>.</w:t>
      </w:r>
    </w:p>
    <w:p w14:paraId="3EDAC768" w14:textId="32A1C07B" w:rsidR="005154A2" w:rsidRPr="005154A2" w:rsidRDefault="005154A2" w:rsidP="005154A2">
      <w:r w:rsidRPr="005154A2">
        <w:t>For Option 1, it is assumed that within the time Steps 1 to 3 in Figure 1 are executed the eNB has already is able to identify the target SN based on the measurements configured to the UE and reported by the UE. Hence the initial SN addition can happen at Step 4 leading to the SCG configuration being available at Step 5.</w:t>
      </w:r>
    </w:p>
    <w:p w14:paraId="160E08D3" w14:textId="593775F3" w:rsidR="00952D36" w:rsidRDefault="00040A9D" w:rsidP="00952D36">
      <w:pPr>
        <w:rPr>
          <w:b/>
        </w:rPr>
      </w:pPr>
      <w:r>
        <w:rPr>
          <w:b/>
        </w:rPr>
        <w:t>Observation 2</w:t>
      </w:r>
      <w:r w:rsidR="005154A2" w:rsidRPr="005154A2">
        <w:rPr>
          <w:b/>
        </w:rPr>
        <w:t xml:space="preserve">: Option 1 </w:t>
      </w:r>
      <w:r w:rsidR="00952D36" w:rsidRPr="005154A2">
        <w:rPr>
          <w:b/>
        </w:rPr>
        <w:t>would save an E-RAB Modificatio</w:t>
      </w:r>
      <w:r w:rsidR="005154A2" w:rsidRPr="005154A2">
        <w:rPr>
          <w:b/>
        </w:rPr>
        <w:t>n Indication message to the MME.</w:t>
      </w:r>
    </w:p>
    <w:p w14:paraId="43A12B72" w14:textId="7A00A1ED" w:rsidR="00CD4C7B" w:rsidRPr="006E13D1" w:rsidRDefault="00CD4C7B" w:rsidP="00CD4C7B">
      <w:pPr>
        <w:pStyle w:val="Heading1"/>
      </w:pPr>
      <w:r w:rsidRPr="006E13D1">
        <w:t>4</w:t>
      </w:r>
      <w:r w:rsidRPr="006E13D1">
        <w:tab/>
      </w:r>
      <w:r w:rsidR="00952D36">
        <w:t>Conclusion</w:t>
      </w:r>
    </w:p>
    <w:p w14:paraId="190C81D1" w14:textId="69601E6E" w:rsidR="00CD4C7B" w:rsidRDefault="00040A9D" w:rsidP="00CD4C7B">
      <w:r>
        <w:t>In this discussion paper, we described our interpretation of the agreement from the previous meeting in the form of 2 options. In addition, we have listed our observations for Option 1 which seems to be more optimized procedure compared to Option 2.</w:t>
      </w:r>
    </w:p>
    <w:p w14:paraId="7C548C71" w14:textId="77777777" w:rsidR="00040A9D" w:rsidRDefault="00040A9D" w:rsidP="00040A9D">
      <w:pPr>
        <w:rPr>
          <w:b/>
        </w:rPr>
      </w:pPr>
      <w:r>
        <w:rPr>
          <w:b/>
        </w:rPr>
        <w:t xml:space="preserve">Option </w:t>
      </w:r>
      <w:r w:rsidRPr="006A0B07">
        <w:rPr>
          <w:b/>
        </w:rPr>
        <w:t xml:space="preserve">1: </w:t>
      </w:r>
      <w:r>
        <w:rPr>
          <w:b/>
        </w:rPr>
        <w:t>During Initial context setup procedure, the SCG or SCG split bearer can be directly setup.</w:t>
      </w:r>
    </w:p>
    <w:p w14:paraId="529CCF60" w14:textId="77777777" w:rsidR="00040A9D" w:rsidRDefault="00040A9D" w:rsidP="00040A9D">
      <w:pPr>
        <w:rPr>
          <w:b/>
        </w:rPr>
      </w:pPr>
      <w:r>
        <w:rPr>
          <w:b/>
        </w:rPr>
        <w:t>Option 2: A</w:t>
      </w:r>
      <w:r w:rsidRPr="006A0B07">
        <w:rPr>
          <w:b/>
        </w:rPr>
        <w:t xml:space="preserve">t Initial context setup, MCG bearer should be first setup and then </w:t>
      </w:r>
      <w:r>
        <w:rPr>
          <w:b/>
        </w:rPr>
        <w:t xml:space="preserve">later </w:t>
      </w:r>
      <w:r w:rsidRPr="006A0B07">
        <w:rPr>
          <w:b/>
        </w:rPr>
        <w:t>converted to SCG or SCG split bearer</w:t>
      </w:r>
      <w:r>
        <w:rPr>
          <w:b/>
        </w:rPr>
        <w:t xml:space="preserve"> (implied from the phrase in brackets “</w:t>
      </w:r>
      <w:r w:rsidRPr="00544AB8">
        <w:rPr>
          <w:b/>
          <w:i/>
        </w:rPr>
        <w:t>assuming that a DRB was previously established in MCG</w:t>
      </w:r>
      <w:r w:rsidRPr="006A0B07">
        <w:rPr>
          <w:b/>
        </w:rPr>
        <w:t>”</w:t>
      </w:r>
      <w:r>
        <w:rPr>
          <w:b/>
        </w:rPr>
        <w:t xml:space="preserve">). The bearer type change could be accomplished either during the Initial context setup procedure or even later. </w:t>
      </w:r>
    </w:p>
    <w:p w14:paraId="64CC6752" w14:textId="77777777" w:rsidR="00040A9D" w:rsidRDefault="00040A9D" w:rsidP="00040A9D">
      <w:pPr>
        <w:rPr>
          <w:b/>
        </w:rPr>
      </w:pPr>
      <w:r w:rsidRPr="00544AB8">
        <w:rPr>
          <w:b/>
        </w:rPr>
        <w:t xml:space="preserve">Observation </w:t>
      </w:r>
      <w:r>
        <w:rPr>
          <w:b/>
        </w:rPr>
        <w:t>1</w:t>
      </w:r>
      <w:r w:rsidRPr="00544AB8">
        <w:rPr>
          <w:b/>
        </w:rPr>
        <w:t xml:space="preserve">: </w:t>
      </w:r>
      <w:r>
        <w:rPr>
          <w:b/>
        </w:rPr>
        <w:t xml:space="preserve">Option 1 and Option 2 both lead to the same result i.e. no </w:t>
      </w:r>
      <w:r w:rsidRPr="00544AB8">
        <w:rPr>
          <w:b/>
        </w:rPr>
        <w:t>DRBs configured in MC</w:t>
      </w:r>
      <w:r>
        <w:rPr>
          <w:b/>
        </w:rPr>
        <w:t>G) but the former is more optimized.</w:t>
      </w:r>
    </w:p>
    <w:p w14:paraId="168D0ACE" w14:textId="77777777" w:rsidR="00040A9D" w:rsidRDefault="00040A9D" w:rsidP="00040A9D">
      <w:pPr>
        <w:rPr>
          <w:b/>
        </w:rPr>
      </w:pPr>
      <w:r>
        <w:rPr>
          <w:b/>
        </w:rPr>
        <w:t>Observation 2</w:t>
      </w:r>
      <w:r w:rsidRPr="005154A2">
        <w:rPr>
          <w:b/>
        </w:rPr>
        <w:t>: Option 1 would save an E-RAB Modification Indication message to the MME.</w:t>
      </w:r>
    </w:p>
    <w:p w14:paraId="277C4D8F" w14:textId="6EB02FAE" w:rsidR="00040A9D" w:rsidRDefault="00040A9D" w:rsidP="00CD4C7B">
      <w:r>
        <w:t>Based on the above discussion, we make the following proposal:</w:t>
      </w:r>
    </w:p>
    <w:p w14:paraId="78222BBB" w14:textId="40A0E999" w:rsidR="00040A9D" w:rsidRPr="00040A9D" w:rsidRDefault="00040A9D" w:rsidP="00CD4C7B">
      <w:pPr>
        <w:rPr>
          <w:b/>
        </w:rPr>
      </w:pPr>
      <w:r w:rsidRPr="00040A9D">
        <w:rPr>
          <w:b/>
        </w:rPr>
        <w:t>Proposal 1: RAN2 to clarify that during Initial context setup procedure, the SCG or SCG split bearer can be directly setup</w:t>
      </w:r>
      <w:r>
        <w:rPr>
          <w:b/>
        </w:rPr>
        <w:t xml:space="preserve"> (without having to first setup any MCG bearer at all).</w:t>
      </w:r>
    </w:p>
    <w:p w14:paraId="0FDCFAC2" w14:textId="77777777" w:rsidR="00CD4C7B" w:rsidRPr="006E13D1" w:rsidRDefault="00CD4C7B" w:rsidP="00CD4C7B">
      <w:pPr>
        <w:pStyle w:val="Heading1"/>
      </w:pPr>
      <w:r w:rsidRPr="006E13D1">
        <w:t>References</w:t>
      </w:r>
    </w:p>
    <w:p w14:paraId="2B8C910F" w14:textId="59D143EA" w:rsidR="00CD4C7B" w:rsidRPr="006E13D1" w:rsidRDefault="00D05465" w:rsidP="00D05465">
      <w:pPr>
        <w:numPr>
          <w:ilvl w:val="0"/>
          <w:numId w:val="4"/>
        </w:numPr>
        <w:overflowPunct w:val="0"/>
        <w:autoSpaceDE w:val="0"/>
        <w:autoSpaceDN w:val="0"/>
        <w:adjustRightInd w:val="0"/>
        <w:textAlignment w:val="baseline"/>
      </w:pPr>
      <w:bookmarkStart w:id="2" w:name="_Ref75086397"/>
      <w:r>
        <w:t xml:space="preserve">R2-1705142: </w:t>
      </w:r>
      <w:r w:rsidRPr="00D05465">
        <w:rPr>
          <w:i/>
        </w:rPr>
        <w:t>Direct SCG (Split) Bearer Setup in EN DC</w:t>
      </w:r>
      <w:r>
        <w:t xml:space="preserve">, </w:t>
      </w:r>
      <w:r w:rsidRPr="00D05465">
        <w:t>Huawei, HiSilicon</w:t>
      </w: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DB07C" w14:textId="77777777" w:rsidR="00177EBA" w:rsidRDefault="00177EBA">
      <w:r>
        <w:separator/>
      </w:r>
    </w:p>
  </w:endnote>
  <w:endnote w:type="continuationSeparator" w:id="0">
    <w:p w14:paraId="397F0231" w14:textId="77777777" w:rsidR="00177EBA" w:rsidRDefault="0017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E62DA" w14:textId="77777777" w:rsidR="00177EBA" w:rsidRDefault="00177EBA">
      <w:r>
        <w:separator/>
      </w:r>
    </w:p>
  </w:footnote>
  <w:footnote w:type="continuationSeparator" w:id="0">
    <w:p w14:paraId="0BBA2BCE" w14:textId="77777777" w:rsidR="00177EBA" w:rsidRDefault="00177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830FF3"/>
    <w:multiLevelType w:val="hybridMultilevel"/>
    <w:tmpl w:val="D202135C"/>
    <w:lvl w:ilvl="0" w:tplc="857081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A9D"/>
    <w:rsid w:val="00080512"/>
    <w:rsid w:val="00090468"/>
    <w:rsid w:val="000B7BCF"/>
    <w:rsid w:val="000C522B"/>
    <w:rsid w:val="000D58AB"/>
    <w:rsid w:val="00112F1A"/>
    <w:rsid w:val="00145075"/>
    <w:rsid w:val="001741A0"/>
    <w:rsid w:val="00177EBA"/>
    <w:rsid w:val="00194CD0"/>
    <w:rsid w:val="001B49C9"/>
    <w:rsid w:val="001F168B"/>
    <w:rsid w:val="001F7831"/>
    <w:rsid w:val="00204045"/>
    <w:rsid w:val="0022606D"/>
    <w:rsid w:val="002747EC"/>
    <w:rsid w:val="002855BF"/>
    <w:rsid w:val="002F0D22"/>
    <w:rsid w:val="003172DC"/>
    <w:rsid w:val="00326069"/>
    <w:rsid w:val="0035462D"/>
    <w:rsid w:val="003B40AD"/>
    <w:rsid w:val="003C4E37"/>
    <w:rsid w:val="003E16BE"/>
    <w:rsid w:val="004006E8"/>
    <w:rsid w:val="00401855"/>
    <w:rsid w:val="004252C8"/>
    <w:rsid w:val="00477455"/>
    <w:rsid w:val="004D3578"/>
    <w:rsid w:val="004D380D"/>
    <w:rsid w:val="004E213A"/>
    <w:rsid w:val="00501B16"/>
    <w:rsid w:val="00503171"/>
    <w:rsid w:val="00506C28"/>
    <w:rsid w:val="005154A2"/>
    <w:rsid w:val="00534DA0"/>
    <w:rsid w:val="00543E6C"/>
    <w:rsid w:val="00544AB8"/>
    <w:rsid w:val="00565087"/>
    <w:rsid w:val="0056573F"/>
    <w:rsid w:val="005D387B"/>
    <w:rsid w:val="00611566"/>
    <w:rsid w:val="00646D99"/>
    <w:rsid w:val="00656910"/>
    <w:rsid w:val="006A0B07"/>
    <w:rsid w:val="006C66D8"/>
    <w:rsid w:val="006D1E24"/>
    <w:rsid w:val="006E1417"/>
    <w:rsid w:val="006F6A2C"/>
    <w:rsid w:val="00710201"/>
    <w:rsid w:val="00734A5B"/>
    <w:rsid w:val="00744E76"/>
    <w:rsid w:val="00751FD5"/>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52D36"/>
    <w:rsid w:val="00961B32"/>
    <w:rsid w:val="00970DB3"/>
    <w:rsid w:val="00974BB0"/>
    <w:rsid w:val="009A0AF3"/>
    <w:rsid w:val="009B07CD"/>
    <w:rsid w:val="009C05C8"/>
    <w:rsid w:val="009C19E9"/>
    <w:rsid w:val="009E61D2"/>
    <w:rsid w:val="00A10F02"/>
    <w:rsid w:val="00A204CA"/>
    <w:rsid w:val="00A53724"/>
    <w:rsid w:val="00A82346"/>
    <w:rsid w:val="00A9671C"/>
    <w:rsid w:val="00AA1553"/>
    <w:rsid w:val="00B15449"/>
    <w:rsid w:val="00B47FD1"/>
    <w:rsid w:val="00B516BB"/>
    <w:rsid w:val="00B75035"/>
    <w:rsid w:val="00C12B51"/>
    <w:rsid w:val="00C12DC7"/>
    <w:rsid w:val="00C24650"/>
    <w:rsid w:val="00C33079"/>
    <w:rsid w:val="00C83A13"/>
    <w:rsid w:val="00C9068C"/>
    <w:rsid w:val="00C92967"/>
    <w:rsid w:val="00CA3D0C"/>
    <w:rsid w:val="00CA654B"/>
    <w:rsid w:val="00CD4C7B"/>
    <w:rsid w:val="00D05465"/>
    <w:rsid w:val="00D738D6"/>
    <w:rsid w:val="00D80795"/>
    <w:rsid w:val="00D854BE"/>
    <w:rsid w:val="00D87E00"/>
    <w:rsid w:val="00D9134D"/>
    <w:rsid w:val="00D96D11"/>
    <w:rsid w:val="00DA7A03"/>
    <w:rsid w:val="00DB1818"/>
    <w:rsid w:val="00DC309B"/>
    <w:rsid w:val="00DC4DA2"/>
    <w:rsid w:val="00E62835"/>
    <w:rsid w:val="00E77645"/>
    <w:rsid w:val="00E83697"/>
    <w:rsid w:val="00EB1CA0"/>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D054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5465"/>
    <w:rPr>
      <w:rFonts w:ascii="Arial" w:eastAsia="MS Mincho" w:hAnsi="Arial"/>
      <w:szCs w:val="24"/>
    </w:rPr>
  </w:style>
  <w:style w:type="paragraph" w:styleId="ListParagraph">
    <w:name w:val="List Paragraph"/>
    <w:basedOn w:val="Normal"/>
    <w:uiPriority w:val="34"/>
    <w:qFormat/>
    <w:rsid w:val="00952D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83885">
      <w:bodyDiv w:val="1"/>
      <w:marLeft w:val="0"/>
      <w:marRight w:val="0"/>
      <w:marTop w:val="0"/>
      <w:marBottom w:val="0"/>
      <w:divBdr>
        <w:top w:val="none" w:sz="0" w:space="0" w:color="auto"/>
        <w:left w:val="none" w:sz="0" w:space="0" w:color="auto"/>
        <w:bottom w:val="none" w:sz="0" w:space="0" w:color="auto"/>
        <w:right w:val="none" w:sz="0" w:space="0" w:color="auto"/>
      </w:divBdr>
    </w:div>
    <w:div w:id="816991495">
      <w:bodyDiv w:val="1"/>
      <w:marLeft w:val="0"/>
      <w:marRight w:val="0"/>
      <w:marTop w:val="0"/>
      <w:marBottom w:val="0"/>
      <w:divBdr>
        <w:top w:val="none" w:sz="0" w:space="0" w:color="auto"/>
        <w:left w:val="none" w:sz="0" w:space="0" w:color="auto"/>
        <w:bottom w:val="none" w:sz="0" w:space="0" w:color="auto"/>
        <w:right w:val="none" w:sz="0" w:space="0" w:color="auto"/>
      </w:divBdr>
    </w:div>
    <w:div w:id="162792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SP-5AIRPNAIUNRU-859666464-449</_dlc_DocId>
    <_dlc_DocIdUrl xmlns="71c5aaf6-e6ce-465b-b873-5148d2a4c105">
      <Url>https://nokia.sharepoint.com/sites/c5g/e2earch/_layouts/15/DocIdRedir.aspx?ID=SP-5AIRPNAIUNRU-859666464-449</Url>
      <Description>SP-5AIRPNAIUNRU-859666464-449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42D8D3-8F0A-4C6E-A136-8D13D672A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978B5-6E50-44B6-B177-168E8157DF79}">
  <ds:schemaRefs>
    <ds:schemaRef ds:uri="71c5aaf6-e6ce-465b-b873-5148d2a4c105"/>
    <ds:schemaRef ds:uri="http://purl.org/dc/elements/1.1/"/>
    <ds:schemaRef ds:uri="a3840f4f-04be-43d1-b2ef-6ff1382503c7"/>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 ds:uri="3b34c8f0-1ef5-4d1e-bb66-517ce7fe7356"/>
    <ds:schemaRef ds:uri="http://purl.org/dc/terms/"/>
  </ds:schemaRefs>
</ds:datastoreItem>
</file>

<file path=customXml/itemProps3.xml><?xml version="1.0" encoding="utf-8"?>
<ds:datastoreItem xmlns:ds="http://schemas.openxmlformats.org/officeDocument/2006/customXml" ds:itemID="{9F7EE2F8-84F8-4666-BF52-6A2C83A55407}">
  <ds:schemaRefs>
    <ds:schemaRef ds:uri="http://schemas.microsoft.com/sharepoint/v3/contenttype/forms"/>
  </ds:schemaRefs>
</ds:datastoreItem>
</file>

<file path=customXml/itemProps4.xml><?xml version="1.0" encoding="utf-8"?>
<ds:datastoreItem xmlns:ds="http://schemas.openxmlformats.org/officeDocument/2006/customXml" ds:itemID="{B1B1308F-919E-4291-BE81-10DC2DC4AE6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142</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21</cp:revision>
  <dcterms:created xsi:type="dcterms:W3CDTF">2016-08-12T03:53:00Z</dcterms:created>
  <dcterms:modified xsi:type="dcterms:W3CDTF">2017-06-16T07:12:00Z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d3fd669d-76c7-4736-8985-dbea48a9c30b</vt:lpwstr>
  </property>
</Properties>
</file>